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</w:t>
      </w:r>
    </w:p>
    <w:p>
      <w:pPr>
        <w:jc w:val="center"/>
        <w:rPr>
          <w:rFonts w:hint="eastAsia" w:asciiTheme="majorEastAsia" w:hAnsiTheme="majorEastAsia" w:eastAsiaTheme="majorEastAsia" w:cstheme="majorEastAsia"/>
          <w:color w:val="auto"/>
          <w:sz w:val="44"/>
          <w:szCs w:val="44"/>
          <w:u w:val="none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Hans"/>
        </w:rPr>
        <w:t>关于起草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《公安机关反有组织犯罪工作规定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（征求意见稿）》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Hans"/>
        </w:rPr>
        <w:t>的说明</w:t>
      </w:r>
    </w:p>
    <w:p>
      <w:pPr>
        <w:jc w:val="center"/>
        <w:rPr>
          <w:rFonts w:hint="eastAsia" w:asciiTheme="majorEastAsia" w:hAnsiTheme="majorEastAsia" w:eastAsiaTheme="majorEastAsia" w:cstheme="majorEastAsia"/>
          <w:color w:val="auto"/>
          <w:sz w:val="44"/>
          <w:szCs w:val="44"/>
          <w:u w:val="none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一、起草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必要性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十三届全国人大常委会第三十二次会议于2021年12月24日表决通过了《反有组织犯罪法》，自2022年5月1日起施行。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《反有组织犯罪法》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把中央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开展扫黑除恶专项斗争的决策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部署和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专项斗争成功经验上升为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国家法律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，建立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</w:rPr>
        <w:t>套包括打击与预防、实体与程序、权力与责任的制度机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公安机关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反有组织犯罪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工作中承担着重要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职责任务，但公安机关反有组织犯罪相关规定仍比较分散，未作系统化总结规范，对《反有组织犯罪法》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首次规定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黑社会性质组织的组织者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领导者个人财产及日常活动报告制度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等，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亟需以规章形式制定“国家有关规定”作为执法依据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。为贯彻落实好《反有组织犯罪法》，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逐步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构建公安机关反有组织犯罪法律制度体系，衔接细化《反有组织犯罪法》有关制度机制，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公安部在充分调研论证基础上起草了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公安机关反有组织犯罪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工作规定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（征求意见稿）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（以下简称《工作规定（稿）》）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二、主要内容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《工作规定（稿）》共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u w:val="none"/>
          <w:lang w:eastAsia="zh-Hans"/>
        </w:rPr>
        <w:t>10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章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u w:val="none"/>
          <w:lang w:eastAsia="zh-Hans"/>
        </w:rPr>
        <w:t>75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条，主要包括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以下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六个方面的内容：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（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Hans"/>
        </w:rPr>
        <w:t>一）系统归纳公安机关反有组织犯罪工作职责和基本原则。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《工作规定（稿）》第二条至第六条对公安机关在反有组织犯罪工作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职责任务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工作原则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作了明确，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有利于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统一各级公安机关的认识，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全面充分履行反有组织犯罪工作职责。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Hans"/>
        </w:rPr>
        <w:t>（二）衔接落地公安机关预防和治理有组织犯罪工作机制。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《工作规定（稿）》第二章对公安机关预防和治理有组织犯罪工作职责和程序作了细化，衔接《反有组织犯罪法》新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设立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  <w:t>黑社会性质组织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  <w:t>组织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eastAsia="zh-CN"/>
        </w:rPr>
        <w:t>者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  <w:t>、领导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eastAsia="zh-CN"/>
        </w:rPr>
        <w:t>者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报告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个人财产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及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日常活动制度，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以及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公安提示函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、“三个重点”等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项扫黑除恶斗争经验上升为法律的工作机制。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（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Hans"/>
        </w:rPr>
        <w:t>三）</w:t>
      </w:r>
      <w:r>
        <w:rPr>
          <w:rFonts w:hint="default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明确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Hans"/>
        </w:rPr>
        <w:t>了公安机关</w:t>
      </w:r>
      <w:r>
        <w:rPr>
          <w:rFonts w:hint="default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核查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Hans"/>
        </w:rPr>
        <w:t>有组织犯罪</w:t>
      </w:r>
      <w:r>
        <w:rPr>
          <w:rFonts w:hint="default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线索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Hans"/>
        </w:rPr>
        <w:t>的</w:t>
      </w:r>
      <w:r>
        <w:rPr>
          <w:rFonts w:hint="default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法律地位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Hans"/>
        </w:rPr>
        <w:t>和具体程序</w:t>
      </w:r>
      <w:r>
        <w:rPr>
          <w:rFonts w:hint="default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Hans"/>
        </w:rPr>
        <w:t>根据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《反有组织犯罪法》“按照国家有关规定”的委任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Hans"/>
        </w:rPr>
        <w:t>性规定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Hans"/>
        </w:rPr>
        <w:t>《工作规定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（稿）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Hans"/>
        </w:rPr>
        <w:t>》第三章对有组织犯罪线索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分级分类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Hans"/>
        </w:rPr>
        <w:t>、核查启动、调查措施、调查结论及线索核查与受立案的关系等作了规定，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明确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Hans"/>
        </w:rPr>
        <w:t>了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有组织犯罪线索核查的程序意义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Hans"/>
        </w:rPr>
        <w:t>（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Hans"/>
        </w:rPr>
        <w:t>四）明确了公安机关办理有组织犯罪案件的一般规定和特殊要求。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Hans"/>
        </w:rPr>
        <w:t>在重申公安机关办理有组织犯罪案件“以事实为根据，以法律为准绳”等一般规定的同时，《工作规定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（稿）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Hans"/>
        </w:rPr>
        <w:t>》对严格掌握有组织犯罪的组织者、领导者和骨干成员取保候审、认罪认罚从宽制度的运用等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Hans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Hans"/>
        </w:rPr>
        <w:t>项特殊要求作了细化。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Hans"/>
        </w:rPr>
        <w:t>（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Hans"/>
        </w:rPr>
        <w:t>五）强化公安机关反有组织犯罪“打财断血”“打伞破网”工作机制</w:t>
      </w:r>
      <w:r>
        <w:rPr>
          <w:rFonts w:hint="default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《工作规定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（稿）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》细化了公安机关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全面调查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有组织犯罪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涉案财产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的要求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Hans"/>
        </w:rPr>
        <w:t>增加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了涉案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财产托管、代管机制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Hans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明确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Hans"/>
        </w:rPr>
        <w:t>了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公安机关在“打伞破网”工作中全面深挖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Hans"/>
        </w:rPr>
        <w:t>国家工作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人员涉有组织犯罪的职责要求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Hans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固化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Hans"/>
        </w:rPr>
        <w:t>了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线索移送、案件会商通报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Hans"/>
        </w:rPr>
        <w:t>等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工作机制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sz w:val="44"/>
          <w:szCs w:val="44"/>
          <w:u w:val="none"/>
          <w:lang w:val="en-US" w:eastAsia="zh-Hans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Hans"/>
        </w:rPr>
        <w:t>（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Hans"/>
        </w:rPr>
        <w:t>六）</w:t>
      </w:r>
      <w:r>
        <w:rPr>
          <w:rFonts w:hint="default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明确《反有组织犯罪法》新设定行政处罚的实施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Hans"/>
        </w:rPr>
        <w:t>以及其他有关内容。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Hans"/>
        </w:rPr>
        <w:t>《工作规定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（稿）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Hans"/>
        </w:rPr>
        <w:t>》明确了公安机关实施《反有组织犯罪法》新设定行政处罚的管辖，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此外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Hans"/>
        </w:rPr>
        <w:t>还对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涉不实举报的公安民警的保护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Hans"/>
        </w:rPr>
        <w:t>、国际合作、队伍建设、物质保障、证人保护等其他有关内容作了细化规定。</w:t>
      </w:r>
    </w:p>
    <w:sectPr>
      <w:footerReference r:id="rId3" w:type="default"/>
      <w:pgSz w:w="11906" w:h="16838"/>
      <w:pgMar w:top="2041" w:right="1531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F4EA9"/>
    <w:rsid w:val="02D642FF"/>
    <w:rsid w:val="05AF0EBA"/>
    <w:rsid w:val="132319C8"/>
    <w:rsid w:val="1EB70FEB"/>
    <w:rsid w:val="203B7696"/>
    <w:rsid w:val="2CDE1962"/>
    <w:rsid w:val="2EA6371F"/>
    <w:rsid w:val="38E71541"/>
    <w:rsid w:val="3AFC37C7"/>
    <w:rsid w:val="3D996064"/>
    <w:rsid w:val="4AE50791"/>
    <w:rsid w:val="52E829A2"/>
    <w:rsid w:val="5784253C"/>
    <w:rsid w:val="65FA4A30"/>
    <w:rsid w:val="75DF4EA9"/>
    <w:rsid w:val="7B4A5D28"/>
    <w:rsid w:val="7D8B47B4"/>
    <w:rsid w:val="E7329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2022-04-29T01:48:00Z</dcterms:created>
  <dc:creator>jinliu</dc:creator>
  <cp:lastModifiedBy>Administrator</cp:lastModifiedBy>
  <dcterms:modified xsi:type="dcterms:W3CDTF">2022-05-18T07:26:22Z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